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color w:val="222222"/>
          <w:highlight w:val="white"/>
        </w:rPr>
      </w:pPr>
      <w:r w:rsidDel="00000000" w:rsidR="00000000" w:rsidRPr="00000000">
        <w:rPr>
          <w:color w:val="365f91"/>
          <w:highlight w:val="white"/>
          <w:rtl w:val="0"/>
        </w:rPr>
        <w:t xml:space="preserve">Dear Program Committee,</w:t>
      </w:r>
      <w:r w:rsidDel="00000000" w:rsidR="00000000" w:rsidRPr="00000000">
        <w:rPr>
          <w:rtl w:val="0"/>
        </w:rPr>
      </w:r>
    </w:p>
    <w:p w:rsidR="00000000" w:rsidDel="00000000" w:rsidP="00000000" w:rsidRDefault="00000000" w:rsidRPr="00000000" w14:paraId="00000002">
      <w:pPr>
        <w:spacing w:after="240" w:before="240" w:line="276" w:lineRule="auto"/>
        <w:jc w:val="both"/>
        <w:rPr>
          <w:color w:val="365f91"/>
          <w:highlight w:val="white"/>
        </w:rPr>
      </w:pPr>
      <w:r w:rsidDel="00000000" w:rsidR="00000000" w:rsidRPr="00000000">
        <w:rPr>
          <w:color w:val="365f91"/>
          <w:highlight w:val="white"/>
          <w:rtl w:val="0"/>
        </w:rPr>
        <w:t xml:space="preserve">We thank you very much for your timely processing of our paper and for your comments to help us improve the quality of the paper. We would also like to thank all the reviewers for their hard work and valuable comments and suggestions which have helped us improve the quality of the paper.</w:t>
      </w:r>
    </w:p>
    <w:p w:rsidR="00000000" w:rsidDel="00000000" w:rsidP="00000000" w:rsidRDefault="00000000" w:rsidRPr="00000000" w14:paraId="00000003">
      <w:pPr>
        <w:spacing w:after="240" w:before="240" w:line="276" w:lineRule="auto"/>
        <w:jc w:val="both"/>
        <w:rPr>
          <w:color w:val="365f91"/>
          <w:highlight w:val="white"/>
        </w:rPr>
      </w:pPr>
      <w:r w:rsidDel="00000000" w:rsidR="00000000" w:rsidRPr="00000000">
        <w:rPr>
          <w:color w:val="365f91"/>
          <w:highlight w:val="white"/>
          <w:rtl w:val="0"/>
        </w:rPr>
        <w:t xml:space="preserve">Following the comments given by the reviewers, we have made the changes in the paper. Our detailed response to the comments is provided below.</w:t>
      </w:r>
    </w:p>
    <w:p w:rsidR="00000000" w:rsidDel="00000000" w:rsidP="00000000" w:rsidRDefault="00000000" w:rsidRPr="00000000" w14:paraId="00000004">
      <w:pPr>
        <w:spacing w:after="240" w:before="240" w:line="276" w:lineRule="auto"/>
        <w:jc w:val="both"/>
        <w:rPr>
          <w:color w:val="365f91"/>
          <w:highlight w:val="white"/>
        </w:rPr>
      </w:pPr>
      <w:r w:rsidDel="00000000" w:rsidR="00000000" w:rsidRPr="00000000">
        <w:rPr>
          <w:color w:val="365f91"/>
          <w:highlight w:val="white"/>
          <w:rtl w:val="0"/>
        </w:rPr>
        <w:t xml:space="preserve">Thanks,</w:t>
      </w:r>
    </w:p>
    <w:p w:rsidR="00000000" w:rsidDel="00000000" w:rsidP="00000000" w:rsidRDefault="00000000" w:rsidRPr="00000000" w14:paraId="00000005">
      <w:pPr>
        <w:spacing w:after="240" w:before="240" w:line="276" w:lineRule="auto"/>
        <w:jc w:val="both"/>
        <w:rPr>
          <w:color w:val="365f91"/>
          <w:highlight w:val="white"/>
        </w:rPr>
      </w:pPr>
      <w:r w:rsidDel="00000000" w:rsidR="00000000" w:rsidRPr="00000000">
        <w:rPr>
          <w:color w:val="365f91"/>
          <w:highlight w:val="white"/>
          <w:rtl w:val="0"/>
        </w:rPr>
        <w:t xml:space="preserve">The Authors</w:t>
      </w:r>
    </w:p>
    <w:p w:rsidR="00000000" w:rsidDel="00000000" w:rsidP="00000000" w:rsidRDefault="00000000" w:rsidRPr="00000000" w14:paraId="00000006">
      <w:pPr>
        <w:spacing w:after="240" w:before="240" w:line="276" w:lineRule="auto"/>
        <w:jc w:val="both"/>
        <w:rPr>
          <w:color w:val="365f91"/>
          <w:highlight w:val="white"/>
        </w:rPr>
      </w:pPr>
      <w:r w:rsidDel="00000000" w:rsidR="00000000" w:rsidRPr="00000000">
        <w:rPr>
          <w:color w:val="365f91"/>
          <w:highlight w:val="white"/>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META-REVIEW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5"/>
        </w:numPr>
        <w:ind w:left="720" w:hanging="360"/>
        <w:rPr/>
      </w:pPr>
      <w:r w:rsidDel="00000000" w:rsidR="00000000" w:rsidRPr="00000000">
        <w:rPr>
          <w:rtl w:val="0"/>
        </w:rPr>
        <w:t xml:space="preserve">Correction of the task overview citation: </w:t>
      </w: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@inproceedings{samory-etal-2026-semeval, </w:t>
      </w:r>
    </w:p>
    <w:p w:rsidR="00000000" w:rsidDel="00000000" w:rsidP="00000000" w:rsidRDefault="00000000" w:rsidRPr="00000000" w14:paraId="0000000E">
      <w:pPr>
        <w:ind w:left="720" w:firstLine="0"/>
        <w:rPr/>
      </w:pPr>
      <w:r w:rsidDel="00000000" w:rsidR="00000000" w:rsidRPr="00000000">
        <w:rPr>
          <w:rtl w:val="0"/>
        </w:rPr>
        <w:t xml:space="preserve">title = "{S}em{E}val-2026 Task 10: {P}sy{C}o{M}ark -- Psycholinguistic Conspiracy Marker Extraction and Detection",</w:t>
      </w:r>
    </w:p>
    <w:p w:rsidR="00000000" w:rsidDel="00000000" w:rsidP="00000000" w:rsidRDefault="00000000" w:rsidRPr="00000000" w14:paraId="0000000F">
      <w:pPr>
        <w:ind w:left="720" w:firstLine="0"/>
        <w:rPr/>
      </w:pPr>
      <w:r w:rsidDel="00000000" w:rsidR="00000000" w:rsidRPr="00000000">
        <w:rPr>
          <w:rtl w:val="0"/>
        </w:rPr>
        <w:t xml:space="preserve">author = "Samory, Mattia  and</w:t>
      </w:r>
    </w:p>
    <w:p w:rsidR="00000000" w:rsidDel="00000000" w:rsidP="00000000" w:rsidRDefault="00000000" w:rsidRPr="00000000" w14:paraId="00000010">
      <w:pPr>
        <w:ind w:left="720" w:firstLine="0"/>
        <w:rPr/>
      </w:pPr>
      <w:r w:rsidDel="00000000" w:rsidR="00000000" w:rsidRPr="00000000">
        <w:rPr>
          <w:rtl w:val="0"/>
        </w:rPr>
        <w:t xml:space="preserve">Soldner, Felix  and </w:t>
      </w:r>
    </w:p>
    <w:p w:rsidR="00000000" w:rsidDel="00000000" w:rsidP="00000000" w:rsidRDefault="00000000" w:rsidRPr="00000000" w14:paraId="00000011">
      <w:pPr>
        <w:ind w:left="720" w:firstLine="0"/>
        <w:rPr/>
      </w:pPr>
      <w:r w:rsidDel="00000000" w:rsidR="00000000" w:rsidRPr="00000000">
        <w:rPr>
          <w:rtl w:val="0"/>
        </w:rPr>
        <w:t xml:space="preserve">Batzdorfer, Veronika" </w:t>
      </w:r>
    </w:p>
    <w:p w:rsidR="00000000" w:rsidDel="00000000" w:rsidP="00000000" w:rsidRDefault="00000000" w:rsidRPr="00000000" w14:paraId="00000012">
      <w:pPr>
        <w:ind w:left="720" w:firstLine="0"/>
        <w:rPr/>
      </w:pPr>
      <w:r w:rsidDel="00000000" w:rsidR="00000000" w:rsidRPr="00000000">
        <w:rPr>
          <w:rtl w:val="0"/>
        </w:rPr>
        <w:t xml:space="preserve">booktitle = "Proceedings of the 20th International Workshop on Semantic Evaluation (SemEval-2026)",  year = "2026"}</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color w:val="ff0000"/>
        </w:rPr>
      </w:pPr>
      <w:r w:rsidDel="00000000" w:rsidR="00000000" w:rsidRPr="00000000">
        <w:rPr>
          <w:color w:val="ff0000"/>
          <w:rtl w:val="0"/>
        </w:rPr>
        <w:t xml:space="preserve">We thank the meta-reviewer for identifying this issue. The bibliography now uses the official SemEval-2026 Task 10 PsyCoMark reference as provided.</w:t>
      </w:r>
    </w:p>
    <w:p w:rsidR="00000000" w:rsidDel="00000000" w:rsidP="00000000" w:rsidRDefault="00000000" w:rsidRPr="00000000" w14:paraId="00000015">
      <w:pPr>
        <w:ind w:left="720" w:firstLine="0"/>
        <w:rPr>
          <w:color w:val="ff000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ind w:left="720" w:hanging="360"/>
        <w:rPr/>
      </w:pPr>
      <w:r w:rsidDel="00000000" w:rsidR="00000000" w:rsidRPr="00000000">
        <w:rPr>
          <w:rtl w:val="0"/>
        </w:rPr>
        <w:t xml:space="preserve">Resolution of internal inconsistencies: the authors must clarify the exact composition of the final ensemble, resolving the discrepancies between Section 3.2, Table 2, and Table 4 regarding the use of DistilDeBERTa versus RoBERTa-L.</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color w:val="ff0000"/>
        </w:rPr>
      </w:pPr>
      <w:r w:rsidDel="00000000" w:rsidR="00000000" w:rsidRPr="00000000">
        <w:rPr>
          <w:color w:val="ff0000"/>
          <w:rtl w:val="0"/>
        </w:rPr>
        <w:t xml:space="preserve">Thank you for your valuable comment. Following the suggestion, we have standardized the final submission as a four-source ensemble consisting of DeBERTa-v3-large, Twitter-RoBERTa, BiMamba, and DeBERTa-v3-small.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5"/>
        </w:numPr>
        <w:ind w:left="720" w:hanging="360"/>
        <w:rPr/>
      </w:pPr>
      <w:r w:rsidDel="00000000" w:rsidR="00000000" w:rsidRPr="00000000">
        <w:rPr>
          <w:rtl w:val="0"/>
        </w:rPr>
        <w:t xml:space="preserve">Documentation of data procedures: provide specific details on the pseudo-labeling pipeline (total samples added, source pool, and class distribution) and the methods used for synthetic data augmentation.</w:t>
      </w: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color w:val="ff0000"/>
        </w:rPr>
      </w:pPr>
      <w:r w:rsidDel="00000000" w:rsidR="00000000" w:rsidRPr="00000000">
        <w:rPr>
          <w:color w:val="ff0000"/>
          <w:rtl w:val="0"/>
        </w:rPr>
        <w:t xml:space="preserve">Thank you for your valuable comment. We added a code-backed description of the pseudo-labeling procedure, including source pool size, committee composition, threshold rule, accepted sample count, and class distribution. We also revised the synthetic-data discussion to report only verified repository artifacts and to avoid unsupported claims about generation prompts or filtering scripts.</w:t>
      </w:r>
    </w:p>
    <w:p w:rsidR="00000000" w:rsidDel="00000000" w:rsidP="00000000" w:rsidRDefault="00000000" w:rsidRPr="00000000" w14:paraId="00000020">
      <w:pPr>
        <w:ind w:left="720" w:firstLine="0"/>
        <w:rPr>
          <w:color w:val="ff000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Formatting and presentation: the author information block must be reformatted to fit within the paper's margins, and the introduction should be updated to more clearly place the system within the context of recent shared-task baselines.</w:t>
      </w: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color w:val="ff0000"/>
        </w:rPr>
      </w:pPr>
      <w:r w:rsidDel="00000000" w:rsidR="00000000" w:rsidRPr="00000000">
        <w:rPr>
          <w:color w:val="ff0000"/>
          <w:rtl w:val="0"/>
        </w:rPr>
        <w:t xml:space="preserve">Thank you for your valuable comment. We reformatted the author block across multiple lines so that the affiliation and email information fit cleanly within the page margins. We have also expanded the introduction and results discussion to situate the system within the public Subtask 2 leaderboard band.</w:t>
      </w:r>
    </w:p>
    <w:p w:rsidR="00000000" w:rsidDel="00000000" w:rsidP="00000000" w:rsidRDefault="00000000" w:rsidRPr="00000000" w14:paraId="00000025">
      <w:pPr>
        <w:ind w:left="720" w:firstLine="0"/>
        <w:rPr>
          <w:color w:val="ff000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5"/>
        </w:numPr>
        <w:ind w:left="720" w:hanging="360"/>
        <w:rPr/>
      </w:pPr>
      <w:r w:rsidDel="00000000" w:rsidR="00000000" w:rsidRPr="00000000">
        <w:rPr>
          <w:rtl w:val="0"/>
        </w:rPr>
        <w:t xml:space="preserve">Furthermore, clarifying the multi-task structure (shared encoders vs. independent heads) and confirming whether thresholds were selected strictly on validation data would strengthen the technical clarity of the contribution.</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color w:val="ff0000"/>
        </w:rPr>
      </w:pPr>
      <w:r w:rsidDel="00000000" w:rsidR="00000000" w:rsidRPr="00000000">
        <w:rPr>
          <w:color w:val="ff0000"/>
          <w:rtl w:val="0"/>
        </w:rPr>
        <w:t xml:space="preserve">Thank you for your valuable comment. We have clarified that the universal SS-MTL setup uses a shared encoder with independent classification and marker-tagging heads, while the final training pipelines are heterogeneous. We now state explicitly that threshold tuning was performed only on held-out validation predictions during cross-validation, without using hidden test labels.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REVIEWER #1</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The author information block appears excessively long and should be reformatted to span multiple lines while remaining within the paper's boundary margins.</w:t>
      </w: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color w:val="ff0000"/>
        </w:rPr>
      </w:pPr>
      <w:r w:rsidDel="00000000" w:rsidR="00000000" w:rsidRPr="00000000">
        <w:rPr>
          <w:color w:val="ff0000"/>
          <w:rtl w:val="0"/>
        </w:rPr>
        <w:t xml:space="preserve">Thank you for noting this presentation issue. We reformatted the author block so the names, affiliation, and emails fit cleanly within the ACL layout.</w:t>
      </w:r>
    </w:p>
    <w:p w:rsidR="00000000" w:rsidDel="00000000" w:rsidP="00000000" w:rsidRDefault="00000000" w:rsidRPr="00000000" w14:paraId="0000003C">
      <w:pPr>
        <w:ind w:left="720" w:firstLine="0"/>
        <w:rPr>
          <w:color w:val="ff0000"/>
        </w:rPr>
      </w:pPr>
      <w:r w:rsidDel="00000000" w:rsidR="00000000" w:rsidRPr="00000000">
        <w:rPr>
          <w:rtl w:val="0"/>
        </w:rPr>
      </w:r>
    </w:p>
    <w:p w:rsidR="00000000" w:rsidDel="00000000" w:rsidP="00000000" w:rsidRDefault="00000000" w:rsidRPr="00000000" w14:paraId="0000003D">
      <w:pPr>
        <w:ind w:left="720" w:firstLine="0"/>
        <w:rPr>
          <w:color w:val="ff0000"/>
        </w:rPr>
      </w:pPr>
      <w:r w:rsidDel="00000000" w:rsidR="00000000" w:rsidRPr="00000000">
        <w:rPr>
          <w:rtl w:val="0"/>
        </w:rPr>
      </w:r>
    </w:p>
    <w:p w:rsidR="00000000" w:rsidDel="00000000" w:rsidP="00000000" w:rsidRDefault="00000000" w:rsidRPr="00000000" w14:paraId="0000003E">
      <w:pPr>
        <w:ind w:left="0" w:firstLine="0"/>
        <w:rPr>
          <w:color w:val="ff0000"/>
        </w:rPr>
      </w:pPr>
      <w:r w:rsidDel="00000000" w:rsidR="00000000" w:rsidRPr="00000000">
        <w:rPr>
          <w:rtl w:val="0"/>
        </w:rPr>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Additionally, the paper does not clearly specify which subtask the team participated in nor report the achieved ranking among other competitors..</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color w:val="ff0000"/>
        </w:rPr>
      </w:pPr>
      <w:r w:rsidDel="00000000" w:rsidR="00000000" w:rsidRPr="00000000">
        <w:rPr>
          <w:color w:val="ff0000"/>
          <w:rtl w:val="0"/>
        </w:rPr>
        <w:t xml:space="preserve">Thank you for your valuable comment. We have revised the abstract, introduction, and task description to state explicitly that the submission focuses on SemEval-2026 Task 10, Subtask 2. We have also added the official Subtask 2 weighted F1 and public leaderboard rank.</w:t>
      </w:r>
    </w:p>
    <w:p w:rsidR="00000000" w:rsidDel="00000000" w:rsidP="00000000" w:rsidRDefault="00000000" w:rsidRPr="00000000" w14:paraId="00000042">
      <w:pPr>
        <w:ind w:left="720" w:firstLine="0"/>
        <w:rPr>
          <w:color w:val="ff0000"/>
        </w:rPr>
      </w:pPr>
      <w:r w:rsidDel="00000000" w:rsidR="00000000" w:rsidRPr="00000000">
        <w:rPr>
          <w:rtl w:val="0"/>
        </w:rPr>
      </w:r>
    </w:p>
    <w:p w:rsidR="00000000" w:rsidDel="00000000" w:rsidP="00000000" w:rsidRDefault="00000000" w:rsidRPr="00000000" w14:paraId="00000043">
      <w:pPr>
        <w:ind w:left="720" w:firstLine="0"/>
        <w:rPr>
          <w:color w:val="ff0000"/>
        </w:rPr>
      </w:pPr>
      <w:r w:rsidDel="00000000" w:rsidR="00000000" w:rsidRPr="00000000">
        <w:rPr>
          <w:rtl w:val="0"/>
        </w:rPr>
      </w:r>
    </w:p>
    <w:p w:rsidR="00000000" w:rsidDel="00000000" w:rsidP="00000000" w:rsidRDefault="00000000" w:rsidRPr="00000000" w14:paraId="00000044">
      <w:pPr>
        <w:ind w:left="720" w:firstLine="0"/>
        <w:rPr>
          <w:color w:val="ff0000"/>
        </w:rPr>
      </w:pPr>
      <w:r w:rsidDel="00000000" w:rsidR="00000000" w:rsidRPr="00000000">
        <w:rPr>
          <w:rtl w:val="0"/>
        </w:rPr>
      </w:r>
    </w:p>
    <w:p w:rsidR="00000000" w:rsidDel="00000000" w:rsidP="00000000" w:rsidRDefault="00000000" w:rsidRPr="00000000" w14:paraId="00000045">
      <w:pPr>
        <w:ind w:left="720" w:firstLine="0"/>
        <w:rPr>
          <w:color w:val="ff0000"/>
        </w:rPr>
      </w:pPr>
      <w:r w:rsidDel="00000000" w:rsidR="00000000" w:rsidRPr="00000000">
        <w:rPr>
          <w:rtl w:val="0"/>
        </w:rPr>
      </w:r>
    </w:p>
    <w:p w:rsidR="00000000" w:rsidDel="00000000" w:rsidP="00000000" w:rsidRDefault="00000000" w:rsidRPr="00000000" w14:paraId="00000046">
      <w:pPr>
        <w:ind w:left="720" w:firstLine="0"/>
        <w:rPr>
          <w:color w:val="ff0000"/>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REVIEWER #2</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The pseudo-labeling pipeline is described at a high level, but the paper does not say how many pseudo-labeled samples were added, from what source pool they came, or how class balance changed after pseudo-labeling.</w:t>
      </w: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color w:val="ff0000"/>
        </w:rPr>
      </w:pPr>
      <w:r w:rsidDel="00000000" w:rsidR="00000000" w:rsidRPr="00000000">
        <w:rPr>
          <w:color w:val="ff0000"/>
          <w:rtl w:val="0"/>
        </w:rPr>
        <w:t xml:space="preserve">Thank you for your valuable comment. We have added the requested details and tied them to the repository pseudo-labeling script and data artifacts.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The synthetic augmentation used for the DeBERTa model is mentioned, but the paper does not explain how those synthetic examples were generated or filtered.</w:t>
      </w: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color w:val="ff0000"/>
        </w:rPr>
      </w:pPr>
      <w:r w:rsidDel="00000000" w:rsidR="00000000" w:rsidRPr="00000000">
        <w:rPr>
          <w:color w:val="ff0000"/>
          <w:rtl w:val="0"/>
        </w:rPr>
        <w:t xml:space="preserve">Thank you for your valuable comment. We have revised this section to avoid unsupported details. The repository preserves the synthetic data artifact but not the upstream prompts or filtering script, so the paper now states this limitation explicitly.</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The threshold analysis reports an optimal threshold of 0.55, but the paper does not make clear whether this was chosen strictly on validation data before test submission.</w:t>
      </w: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color w:val="ff0000"/>
          <w:rtl w:val="0"/>
        </w:rPr>
        <w:t xml:space="preserve">Thank you for your valuable comment. We have clarified that 0.55 was selected using held-out validation predictions during cross-validation before final test prediction</w:t>
      </w:r>
      <w:r w:rsidDel="00000000" w:rsidR="00000000" w:rsidRPr="00000000">
        <w:rPr>
          <w:rtl w:val="0"/>
        </w:rPr>
        <w:t xml:space="preserve">.</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numPr>
          <w:ilvl w:val="0"/>
          <w:numId w:val="2"/>
        </w:numPr>
        <w:ind w:left="720" w:hanging="360"/>
        <w:rPr/>
      </w:pPr>
      <w:r w:rsidDel="00000000" w:rsidR="00000000" w:rsidRPr="00000000">
        <w:rPr>
          <w:rtl w:val="0"/>
        </w:rPr>
        <w:t xml:space="preserve">There are internal inconsistencies that should be fixed. Section 3.2 lists DeBERTa, Twitter-RoBERTa, and DistilDeBERTa as the transformer components, and Table 2 names four ensemble members including "Logician" for DistilDeBERTa. However, Table 4 describes the final ensemble as adding "RoBERTa-L" rather than DistilDeBERTa. I could not tell whether this is a typo, a late model swap, or an omitted system component.</w:t>
      </w: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color w:val="ff0000"/>
        </w:rPr>
      </w:pPr>
      <w:r w:rsidDel="00000000" w:rsidR="00000000" w:rsidRPr="00000000">
        <w:rPr>
          <w:color w:val="ff0000"/>
          <w:rtl w:val="0"/>
        </w:rPr>
        <w:t xml:space="preserve">Thank you for your valuable comment. We have corrected the inconsistency. The official submission uses DeBERTa-v3-large, Twitter-RoBERTa, BiMamba, and DeBERTa-v3-small; the RoBERTa-L wording was a manuscript inconsistency.</w:t>
      </w:r>
    </w:p>
    <w:p w:rsidR="00000000" w:rsidDel="00000000" w:rsidP="00000000" w:rsidRDefault="00000000" w:rsidRPr="00000000" w14:paraId="00000058">
      <w:pPr>
        <w:ind w:left="720" w:firstLine="0"/>
        <w:rPr>
          <w:color w:val="ff0000"/>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numPr>
          <w:ilvl w:val="0"/>
          <w:numId w:val="2"/>
        </w:numPr>
        <w:ind w:left="720" w:hanging="360"/>
        <w:rPr/>
      </w:pPr>
      <w:r w:rsidDel="00000000" w:rsidR="00000000" w:rsidRPr="00000000">
        <w:rPr>
          <w:rtl w:val="0"/>
        </w:rPr>
        <w:t xml:space="preserve">The paper is somewhat light on comparison with prior work. The related-work section is brief and generic. It cites a small set of papers on conspiracy detection, ensembles, and Mamba, but it does not clearly place this system against the strongest recent text classification or shared-task baselines. </w:t>
      </w: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color w:val="ff0000"/>
        </w:rPr>
      </w:pPr>
      <w:r w:rsidDel="00000000" w:rsidR="00000000" w:rsidRPr="00000000">
        <w:rPr>
          <w:color w:val="ff0000"/>
          <w:rtl w:val="0"/>
        </w:rPr>
        <w:t xml:space="preserve">Thank you for your valuable comment. We expanded the related-work and results sections to compare the system against strong Transformer-centric baselines and the public shared-task leaderboard band.</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2"/>
        </w:numPr>
        <w:ind w:left="720" w:hanging="360"/>
        <w:rPr/>
      </w:pPr>
      <w:r w:rsidDel="00000000" w:rsidR="00000000" w:rsidRPr="00000000">
        <w:rPr>
          <w:rtl w:val="0"/>
        </w:rPr>
        <w:t xml:space="preserve">Within the results section, the official 0.78 weighted F1 is reported, but I did not see ranking information, official baselines, or a comparison to other submitted systems. </w:t>
      </w: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color w:val="ff0000"/>
          <w:rtl w:val="0"/>
        </w:rPr>
        <w:t xml:space="preserve">Thank you for your valuable comment. We have added the official Subtask 2 weighted F1 and public leaderboard rank in the abstract and introduction.</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Questions for Authors</w:t>
      </w:r>
    </w:p>
    <w:p w:rsidR="00000000" w:rsidDel="00000000" w:rsidP="00000000" w:rsidRDefault="00000000" w:rsidRPr="00000000" w14:paraId="00000066">
      <w:pPr>
        <w:rPr/>
      </w:pPr>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
        </w:numPr>
        <w:ind w:left="720" w:hanging="360"/>
        <w:rPr/>
      </w:pPr>
      <w:r w:rsidDel="00000000" w:rsidR="00000000" w:rsidRPr="00000000">
        <w:rPr>
          <w:rtl w:val="0"/>
        </w:rPr>
        <w:t xml:space="preserve">How many pseudo-labeled examples were added in total, and what was their class distribution?</w:t>
      </w: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ind w:left="720" w:firstLine="0"/>
        <w:rPr>
          <w:color w:val="0000ff"/>
        </w:rPr>
      </w:pPr>
      <w:r w:rsidDel="00000000" w:rsidR="00000000" w:rsidRPr="00000000">
        <w:rPr>
          <w:color w:val="0000ff"/>
          <w:rtl w:val="0"/>
        </w:rPr>
        <w:t xml:space="preserve">We added 399 pseudo-labeled examples from the 938-instance unlabeled official test pool: 95 Yes and 304 No. </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numPr>
          <w:ilvl w:val="0"/>
          <w:numId w:val="1"/>
        </w:numPr>
        <w:ind w:left="720" w:hanging="360"/>
        <w:rPr/>
      </w:pPr>
      <w:r w:rsidDel="00000000" w:rsidR="00000000" w:rsidRPr="00000000">
        <w:rPr>
          <w:rtl w:val="0"/>
        </w:rPr>
        <w:t xml:space="preserve">Can you clarify the final ensemble composition? Table 2 suggests DistilDeBERTa is part of the committee, while Table 4 refers to "RoBERTa-L" in the full ensemble. Which models were actually used in the official submission?</w:t>
      </w: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color w:val="0000ff"/>
        </w:rPr>
      </w:pPr>
      <w:r w:rsidDel="00000000" w:rsidR="00000000" w:rsidRPr="00000000">
        <w:rPr>
          <w:color w:val="0000ff"/>
          <w:rtl w:val="0"/>
        </w:rPr>
        <w:t xml:space="preserve">The official submission uses DeBERTa-v3-large, Twitter-RoBERTa, BiMamba, and DeBERTa-v3-small; the RoBERTa-L wording was a manuscript inconsistency.</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numPr>
          <w:ilvl w:val="0"/>
          <w:numId w:val="1"/>
        </w:numPr>
        <w:ind w:left="720" w:hanging="360"/>
        <w:rPr/>
      </w:pPr>
      <w:r w:rsidDel="00000000" w:rsidR="00000000" w:rsidRPr="00000000">
        <w:rPr>
          <w:rtl w:val="0"/>
        </w:rPr>
        <w:t xml:space="preserve">How was the multi-task model structured in practice? Did all models use a shared encoder with both classification and BIO tagging heads, or only some of them?</w:t>
      </w: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color w:val="0000ff"/>
        </w:rPr>
      </w:pPr>
      <w:r w:rsidDel="00000000" w:rsidR="00000000" w:rsidRPr="00000000">
        <w:rPr>
          <w:color w:val="0000ff"/>
          <w:rtl w:val="0"/>
        </w:rPr>
        <w:t xml:space="preserve">The explicit shared-encoder classification plus BIO setup corresponds to the universal SS-MTL script. The main final-ensemble pipelines are heterogeneous and are not all forced through the BIO-tagging objective.</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numPr>
          <w:ilvl w:val="0"/>
          <w:numId w:val="1"/>
        </w:numPr>
        <w:ind w:left="720" w:hanging="360"/>
        <w:rPr/>
      </w:pPr>
      <w:r w:rsidDel="00000000" w:rsidR="00000000" w:rsidRPr="00000000">
        <w:rPr>
          <w:rtl w:val="0"/>
        </w:rPr>
        <w:t xml:space="preserve">Was the 0.55 classification threshold selected strictly on validation folds before test prediction?</w:t>
      </w: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ind w:left="720" w:firstLine="0"/>
        <w:rPr>
          <w:color w:val="0000ff"/>
        </w:rPr>
      </w:pPr>
      <w:r w:rsidDel="00000000" w:rsidR="00000000" w:rsidRPr="00000000">
        <w:rPr>
          <w:color w:val="0000ff"/>
          <w:rtl w:val="0"/>
        </w:rPr>
        <w:t xml:space="preserve">Yes. The threshold sweep was performed strictly on held-out validation predictions during cross-validation before final test prediction.</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tl w:val="0"/>
        </w:rPr>
        <w:t xml:space="preserve">REVIEWER #3</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4"/>
        </w:numPr>
        <w:ind w:left="720" w:hanging="360"/>
        <w:rPr/>
      </w:pPr>
      <w:r w:rsidDel="00000000" w:rsidR="00000000" w:rsidRPr="00000000">
        <w:rPr>
          <w:rtl w:val="0"/>
        </w:rPr>
        <w:t xml:space="preserve">The paper focuses exclusively on Subtask 2, without addressing Subtask 1. While the depth on Subtask 2 is appropriate, this narrower focus limits its scope compared to teams that tackled both subtasks.</w:t>
      </w: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color w:val="ff0000"/>
          <w:rtl w:val="0"/>
        </w:rPr>
        <w:t xml:space="preserve">We agree with the reviewer that focusing only on Subtask 2 narrows the scope of the paper; extending the system to jointly address Subtask 1 marker extraction is an important direction for future exploration</w:t>
      </w:r>
      <w:r w:rsidDel="00000000" w:rsidR="00000000" w:rsidRPr="00000000">
        <w:rPr>
          <w:rtl w:val="0"/>
        </w:rPr>
        <w:t xml:space="preserve">.</w:t>
      </w:r>
    </w:p>
    <w:p w:rsidR="00000000" w:rsidDel="00000000" w:rsidP="00000000" w:rsidRDefault="00000000" w:rsidRPr="00000000" w14:paraId="00000081">
      <w:pPr>
        <w:numPr>
          <w:ilvl w:val="0"/>
          <w:numId w:val="4"/>
        </w:numPr>
        <w:ind w:left="720" w:hanging="360"/>
        <w:rPr/>
      </w:pPr>
      <w:r w:rsidDel="00000000" w:rsidR="00000000" w:rsidRPr="00000000">
        <w:rPr>
          <w:rtl w:val="0"/>
        </w:rPr>
        <w:t xml:space="preserve">The SS-MTL contribution may be somewhat overstated. The safety switch zeros out the NER loss for pseudo-labeled data, serving as a practical engineering safeguard rather than introducing a new learning paradigm. Additionally, the gain from MTL is not clearly isolated in the ablation table.</w:t>
      </w:r>
    </w:p>
    <w:p w:rsidR="00000000" w:rsidDel="00000000" w:rsidP="00000000" w:rsidRDefault="00000000" w:rsidRPr="00000000" w14:paraId="00000082">
      <w:pPr>
        <w:ind w:left="720" w:firstLine="0"/>
        <w:rPr>
          <w:color w:val="ff0000"/>
        </w:rPr>
      </w:pPr>
      <w:r w:rsidDel="00000000" w:rsidR="00000000" w:rsidRPr="00000000">
        <w:rPr>
          <w:color w:val="ff0000"/>
          <w:rtl w:val="0"/>
        </w:rPr>
        <w:t xml:space="preserve">We thank the reviewer for this helpful observation. We have revised the wording around SS-MTL to avoid presenting it as a new learning paradigm, and now describe it as a practical safety-switched multi-task training setup that prevents noisy pseudo-labeled samples from contributing to the marker-extraction loss. To address the concern about isolation, we performed a separate controlled SS-MTL ablation using the same backbone, folds, data, and threshold-selection procedure. In this comparison, SS-MTL improves validation weighted F1 from 0.735 to 0.744, corresponding to an absolute gain of +0.009. We also clarify that the main ensemble table evaluates heterogeneous model components, while the SS-MTL result is reported separately to avoid conflating training-strategy gains with ensemble-source gains.</w:t>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numPr>
          <w:ilvl w:val="0"/>
          <w:numId w:val="4"/>
        </w:numPr>
        <w:ind w:left="720" w:hanging="360"/>
        <w:rPr/>
      </w:pPr>
      <w:r w:rsidDel="00000000" w:rsidR="00000000" w:rsidRPr="00000000">
        <w:rPr>
          <w:rtl w:val="0"/>
        </w:rPr>
        <w:t xml:space="preserve">Synthetic data augmentation using LLM-generated samples results in negligible improvements (Table 4, +0.00). Although this negative outcome is reported transparently, the authors did not explore alternative prompting strategies or quality filters.</w:t>
      </w:r>
    </w:p>
    <w:p w:rsidR="00000000" w:rsidDel="00000000" w:rsidP="00000000" w:rsidRDefault="00000000" w:rsidRPr="00000000" w14:paraId="00000085">
      <w:pPr>
        <w:ind w:left="720" w:firstLine="0"/>
        <w:rPr>
          <w:color w:val="ff0000"/>
        </w:rPr>
      </w:pPr>
      <w:r w:rsidDel="00000000" w:rsidR="00000000" w:rsidRPr="00000000">
        <w:rPr>
          <w:color w:val="ff0000"/>
          <w:rtl w:val="0"/>
        </w:rPr>
        <w:t xml:space="preserve">We thank the reviewer for pointing this out. We have clarified that our synthetic augmentation experiment used a fixed auxiliary dataset and was not a comprehensive study of LLM-based data generation; alternative prompting and filtering strategies are now noted as important future work.</w:t>
      </w:r>
    </w:p>
    <w:p w:rsidR="00000000" w:rsidDel="00000000" w:rsidP="00000000" w:rsidRDefault="00000000" w:rsidRPr="00000000" w14:paraId="00000086">
      <w:pPr>
        <w:ind w:left="0" w:firstLine="0"/>
        <w:rPr>
          <w:color w:val="ff0000"/>
        </w:rPr>
      </w:pPr>
      <w:r w:rsidDel="00000000" w:rsidR="00000000" w:rsidRPr="00000000">
        <w:rPr>
          <w:rtl w:val="0"/>
        </w:rPr>
      </w:r>
    </w:p>
    <w:p w:rsidR="00000000" w:rsidDel="00000000" w:rsidP="00000000" w:rsidRDefault="00000000" w:rsidRPr="00000000" w14:paraId="00000087">
      <w:pPr>
        <w:numPr>
          <w:ilvl w:val="0"/>
          <w:numId w:val="4"/>
        </w:numPr>
        <w:ind w:left="720" w:hanging="360"/>
        <w:rPr/>
      </w:pPr>
      <w:r w:rsidDel="00000000" w:rsidR="00000000" w:rsidRPr="00000000">
        <w:rPr>
          <w:rtl w:val="0"/>
        </w:rPr>
        <w:t xml:space="preserve">The BiMamba component ("Specialist") achieves a score of 0.74, identical to Tw-RoBERTa ("Grandmaster"). This similarity raises questions about whether BiMamba offers architectural diversity beyond what a third Transformer might provide. The claim of complementarity is plausible, but not fully demonstrated.</w:t>
      </w:r>
    </w:p>
    <w:p w:rsidR="00000000" w:rsidDel="00000000" w:rsidP="00000000" w:rsidRDefault="00000000" w:rsidRPr="00000000" w14:paraId="00000088">
      <w:pPr>
        <w:ind w:left="720" w:firstLine="0"/>
        <w:rPr>
          <w:color w:val="ff0000"/>
        </w:rPr>
      </w:pPr>
      <w:r w:rsidDel="00000000" w:rsidR="00000000" w:rsidRPr="00000000">
        <w:rPr>
          <w:color w:val="ff0000"/>
          <w:rtl w:val="0"/>
        </w:rPr>
        <w:t xml:space="preserve">We thank the reviewer for this observation. We have clarified that BiMamba is not claimed to outperform Tw-RoBERTa individually; rather, test-set error analysis showed complementary correct/incorrect cases, supporting its role as a diversity-providing non-Transformer ensemble component.</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numPr>
          <w:ilvl w:val="0"/>
          <w:numId w:val="4"/>
        </w:numPr>
        <w:ind w:left="720" w:hanging="360"/>
        <w:rPr/>
      </w:pPr>
      <w:r w:rsidDel="00000000" w:rsidR="00000000" w:rsidRPr="00000000">
        <w:rPr>
          <w:rtl w:val="0"/>
        </w:rPr>
        <w:t xml:space="preserve">Minor: Figure 1 uses archetype names (Squeeze, Grandmaster, Specialist, Logician), but the mapping to model types could be clarified directly within the figure.</w:t>
      </w:r>
      <w:r w:rsidDel="00000000" w:rsidR="00000000" w:rsidRPr="00000000">
        <w:rPr>
          <w:rtl w:val="0"/>
        </w:rPr>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color w:val="ff0000"/>
          <w:rtl w:val="0"/>
        </w:rPr>
        <w:t xml:space="preserve">Thank you for your valuable comment. We have updated the architecture figure to include the corrected archetype name to model name mapping below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